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97D035" w14:textId="77777777" w:rsidR="00A510D9" w:rsidRDefault="003A6AF8" w:rsidP="006F4D5E">
      <w:pPr>
        <w:jc w:val="center"/>
      </w:pPr>
    </w:p>
    <w:p w14:paraId="071B399B" w14:textId="77777777" w:rsidR="006F4D5E" w:rsidRDefault="006F4D5E" w:rsidP="006F4D5E">
      <w:pPr>
        <w:jc w:val="center"/>
      </w:pPr>
    </w:p>
    <w:p w14:paraId="3A7D9333" w14:textId="77777777" w:rsidR="006F4D5E" w:rsidRDefault="006F4D5E" w:rsidP="006F4D5E">
      <w:pPr>
        <w:jc w:val="center"/>
      </w:pPr>
    </w:p>
    <w:p w14:paraId="7E84E596" w14:textId="77777777" w:rsidR="006F4D5E" w:rsidRDefault="006F4D5E" w:rsidP="006F4D5E">
      <w:pPr>
        <w:jc w:val="center"/>
      </w:pPr>
    </w:p>
    <w:p w14:paraId="4B68B86F" w14:textId="77777777" w:rsidR="006F4D5E" w:rsidRDefault="006F4D5E" w:rsidP="006F4D5E">
      <w:pPr>
        <w:jc w:val="center"/>
      </w:pPr>
    </w:p>
    <w:p w14:paraId="0B78476E" w14:textId="77777777" w:rsidR="006F4D5E" w:rsidRDefault="006F4D5E" w:rsidP="006F4D5E">
      <w:pPr>
        <w:jc w:val="center"/>
      </w:pPr>
    </w:p>
    <w:p w14:paraId="2058F6EB" w14:textId="77777777" w:rsidR="006F4D5E" w:rsidRDefault="006F4D5E" w:rsidP="006F4D5E">
      <w:pPr>
        <w:jc w:val="center"/>
      </w:pPr>
    </w:p>
    <w:p w14:paraId="10055271" w14:textId="77777777" w:rsidR="006F4D5E" w:rsidRDefault="006F4D5E" w:rsidP="006F4D5E">
      <w:pPr>
        <w:jc w:val="center"/>
      </w:pPr>
    </w:p>
    <w:p w14:paraId="37386DF3" w14:textId="77777777" w:rsidR="006F4D5E" w:rsidRDefault="006F4D5E" w:rsidP="006F4D5E">
      <w:pPr>
        <w:jc w:val="center"/>
      </w:pPr>
    </w:p>
    <w:p w14:paraId="0ADEE643" w14:textId="77777777" w:rsidR="006F4D5E" w:rsidRDefault="006F4D5E" w:rsidP="006F4D5E">
      <w:pPr>
        <w:jc w:val="center"/>
      </w:pPr>
    </w:p>
    <w:p w14:paraId="243449CB" w14:textId="77777777" w:rsidR="006F4D5E" w:rsidRDefault="006F4D5E" w:rsidP="006F4D5E">
      <w:pPr>
        <w:jc w:val="center"/>
      </w:pPr>
    </w:p>
    <w:p w14:paraId="04FFC618" w14:textId="77777777" w:rsidR="006F4D5E" w:rsidRPr="006F4D5E" w:rsidRDefault="00D82BD7" w:rsidP="006F4D5E">
      <w:pPr>
        <w:jc w:val="center"/>
        <w:rPr>
          <w:b/>
        </w:rPr>
      </w:pPr>
      <w:r>
        <w:rPr>
          <w:b/>
        </w:rPr>
        <w:t>Creation Paper</w:t>
      </w:r>
      <w:r w:rsidR="006F4D5E" w:rsidRPr="006F4D5E">
        <w:rPr>
          <w:b/>
        </w:rPr>
        <w:t>:</w:t>
      </w:r>
    </w:p>
    <w:p w14:paraId="635F35EC" w14:textId="77777777" w:rsidR="006F4D5E" w:rsidRPr="006F4D5E" w:rsidRDefault="006F4D5E" w:rsidP="006F4D5E">
      <w:pPr>
        <w:jc w:val="center"/>
        <w:rPr>
          <w:b/>
        </w:rPr>
      </w:pPr>
    </w:p>
    <w:p w14:paraId="56A48935" w14:textId="77777777" w:rsidR="006F4D5E" w:rsidRDefault="00D82BD7" w:rsidP="006F4D5E">
      <w:pPr>
        <w:jc w:val="center"/>
        <w:rPr>
          <w:i/>
        </w:rPr>
      </w:pPr>
      <w:r>
        <w:rPr>
          <w:b/>
        </w:rPr>
        <w:t>Exploring the Literary Techniques of Genesis 1-2</w:t>
      </w:r>
    </w:p>
    <w:p w14:paraId="0130945E" w14:textId="77777777" w:rsidR="006F4D5E" w:rsidRDefault="006F4D5E" w:rsidP="006F4D5E">
      <w:pPr>
        <w:jc w:val="center"/>
        <w:rPr>
          <w:i/>
        </w:rPr>
      </w:pPr>
    </w:p>
    <w:p w14:paraId="3FB89305" w14:textId="77777777" w:rsidR="006F4D5E" w:rsidRDefault="006F4D5E" w:rsidP="006F4D5E">
      <w:pPr>
        <w:jc w:val="center"/>
      </w:pPr>
    </w:p>
    <w:p w14:paraId="26ECFB7D" w14:textId="77777777" w:rsidR="006F4D5E" w:rsidRDefault="006F4D5E" w:rsidP="006F4D5E">
      <w:pPr>
        <w:jc w:val="center"/>
      </w:pPr>
    </w:p>
    <w:p w14:paraId="6C78B317" w14:textId="77777777" w:rsidR="006F4D5E" w:rsidRDefault="006F4D5E" w:rsidP="006F4D5E">
      <w:pPr>
        <w:jc w:val="center"/>
      </w:pPr>
    </w:p>
    <w:p w14:paraId="6D7B5A89" w14:textId="77777777" w:rsidR="006F4D5E" w:rsidRDefault="006F4D5E" w:rsidP="006F4D5E">
      <w:pPr>
        <w:jc w:val="center"/>
      </w:pPr>
    </w:p>
    <w:p w14:paraId="304D2A3D" w14:textId="77777777" w:rsidR="006F4D5E" w:rsidRDefault="006F4D5E" w:rsidP="006F4D5E">
      <w:pPr>
        <w:jc w:val="center"/>
      </w:pPr>
    </w:p>
    <w:p w14:paraId="1B5A325D" w14:textId="77777777" w:rsidR="006F4D5E" w:rsidRDefault="006F4D5E" w:rsidP="006F4D5E">
      <w:pPr>
        <w:jc w:val="center"/>
      </w:pPr>
    </w:p>
    <w:p w14:paraId="6E4AE935" w14:textId="77777777" w:rsidR="006F4D5E" w:rsidRDefault="006F4D5E" w:rsidP="006F4D5E">
      <w:pPr>
        <w:jc w:val="center"/>
      </w:pPr>
    </w:p>
    <w:p w14:paraId="4AE184C6" w14:textId="77777777" w:rsidR="006F4D5E" w:rsidRDefault="006F4D5E" w:rsidP="006F4D5E">
      <w:pPr>
        <w:jc w:val="center"/>
      </w:pPr>
    </w:p>
    <w:p w14:paraId="48AF76C5" w14:textId="77777777" w:rsidR="006F4D5E" w:rsidRDefault="006F4D5E" w:rsidP="006F4D5E">
      <w:pPr>
        <w:jc w:val="center"/>
      </w:pPr>
    </w:p>
    <w:p w14:paraId="0E6C516A" w14:textId="77777777" w:rsidR="006F4D5E" w:rsidRDefault="006F4D5E" w:rsidP="006F4D5E">
      <w:pPr>
        <w:jc w:val="center"/>
      </w:pPr>
    </w:p>
    <w:p w14:paraId="6C7C0DEC" w14:textId="77777777" w:rsidR="006F4D5E" w:rsidRDefault="006F4D5E" w:rsidP="006F4D5E">
      <w:pPr>
        <w:jc w:val="center"/>
      </w:pPr>
    </w:p>
    <w:p w14:paraId="6E2EFC56" w14:textId="77777777" w:rsidR="006F4D5E" w:rsidRDefault="006F4D5E" w:rsidP="006F4D5E">
      <w:pPr>
        <w:jc w:val="center"/>
      </w:pPr>
    </w:p>
    <w:p w14:paraId="1B9354C6" w14:textId="77777777" w:rsidR="006F4D5E" w:rsidRDefault="006F4D5E" w:rsidP="006F4D5E">
      <w:pPr>
        <w:jc w:val="center"/>
      </w:pPr>
    </w:p>
    <w:p w14:paraId="7E27E833" w14:textId="77777777" w:rsidR="006F4D5E" w:rsidRDefault="006F4D5E" w:rsidP="006F4D5E">
      <w:pPr>
        <w:jc w:val="center"/>
      </w:pPr>
    </w:p>
    <w:p w14:paraId="5C03D62D" w14:textId="77777777" w:rsidR="006F4D5E" w:rsidRDefault="006F4D5E" w:rsidP="006F4D5E">
      <w:pPr>
        <w:jc w:val="center"/>
      </w:pPr>
    </w:p>
    <w:p w14:paraId="1A3C5AAF" w14:textId="77777777" w:rsidR="006F4D5E" w:rsidRDefault="006F4D5E" w:rsidP="006F4D5E">
      <w:pPr>
        <w:jc w:val="center"/>
      </w:pPr>
    </w:p>
    <w:p w14:paraId="186FB95A" w14:textId="77777777" w:rsidR="006F4D5E" w:rsidRDefault="006F4D5E" w:rsidP="006F4D5E">
      <w:pPr>
        <w:jc w:val="center"/>
      </w:pPr>
    </w:p>
    <w:p w14:paraId="11267A01" w14:textId="77777777" w:rsidR="006F4D5E" w:rsidRDefault="006F4D5E" w:rsidP="006F4D5E">
      <w:pPr>
        <w:jc w:val="center"/>
      </w:pPr>
      <w:r>
        <w:t>Luke Johnson</w:t>
      </w:r>
    </w:p>
    <w:p w14:paraId="0C2336B5" w14:textId="77777777" w:rsidR="006F4D5E" w:rsidRDefault="006F4D5E" w:rsidP="006F4D5E">
      <w:pPr>
        <w:jc w:val="center"/>
      </w:pPr>
    </w:p>
    <w:p w14:paraId="3DF67607" w14:textId="77777777" w:rsidR="006F4D5E" w:rsidRDefault="006F4D5E" w:rsidP="006F4D5E">
      <w:pPr>
        <w:jc w:val="center"/>
      </w:pPr>
      <w:r>
        <w:t>PM 8260- Current Theological Issues</w:t>
      </w:r>
    </w:p>
    <w:p w14:paraId="331AADD4" w14:textId="77777777" w:rsidR="006F4D5E" w:rsidRDefault="006F4D5E" w:rsidP="006F4D5E">
      <w:pPr>
        <w:jc w:val="center"/>
      </w:pPr>
    </w:p>
    <w:p w14:paraId="218B7C34" w14:textId="77777777" w:rsidR="006F4D5E" w:rsidRDefault="00D82BD7" w:rsidP="006F4D5E">
      <w:pPr>
        <w:jc w:val="center"/>
      </w:pPr>
      <w:r>
        <w:t>November 2</w:t>
      </w:r>
      <w:r w:rsidR="006F4D5E">
        <w:t>, 2020</w:t>
      </w:r>
    </w:p>
    <w:p w14:paraId="7F2896BA" w14:textId="77777777" w:rsidR="003700A6" w:rsidRDefault="003700A6" w:rsidP="006F4D5E">
      <w:pPr>
        <w:jc w:val="center"/>
      </w:pPr>
    </w:p>
    <w:p w14:paraId="532B547B" w14:textId="77777777" w:rsidR="003700A6" w:rsidRDefault="003700A6" w:rsidP="006F4D5E">
      <w:pPr>
        <w:jc w:val="center"/>
      </w:pPr>
    </w:p>
    <w:p w14:paraId="4054D6B7" w14:textId="77777777" w:rsidR="003700A6" w:rsidRDefault="003700A6" w:rsidP="006F4D5E">
      <w:pPr>
        <w:jc w:val="center"/>
      </w:pPr>
    </w:p>
    <w:p w14:paraId="11BDF0C4" w14:textId="77777777" w:rsidR="003700A6" w:rsidRDefault="003700A6" w:rsidP="006F4D5E">
      <w:pPr>
        <w:jc w:val="center"/>
      </w:pPr>
    </w:p>
    <w:p w14:paraId="3ECA5137" w14:textId="77777777" w:rsidR="003700A6" w:rsidRDefault="003700A6" w:rsidP="006F4D5E">
      <w:pPr>
        <w:jc w:val="center"/>
      </w:pPr>
    </w:p>
    <w:p w14:paraId="729A85CA" w14:textId="77777777" w:rsidR="003700A6" w:rsidRDefault="003700A6" w:rsidP="006F4D5E">
      <w:pPr>
        <w:jc w:val="center"/>
      </w:pPr>
    </w:p>
    <w:p w14:paraId="2D0B9C48" w14:textId="77777777" w:rsidR="003700A6" w:rsidRDefault="003700A6" w:rsidP="006F4D5E">
      <w:pPr>
        <w:jc w:val="center"/>
      </w:pPr>
    </w:p>
    <w:p w14:paraId="31774069" w14:textId="77777777" w:rsidR="003700A6" w:rsidRDefault="003700A6" w:rsidP="006F4D5E">
      <w:pPr>
        <w:jc w:val="center"/>
      </w:pPr>
    </w:p>
    <w:p w14:paraId="46EED635" w14:textId="77777777" w:rsidR="004130DA" w:rsidRDefault="004130DA" w:rsidP="003700A6">
      <w:pPr>
        <w:spacing w:line="480" w:lineRule="auto"/>
      </w:pPr>
    </w:p>
    <w:p w14:paraId="539C95D4" w14:textId="7B2E6EAF" w:rsidR="00E668CB" w:rsidRDefault="004130DA" w:rsidP="003700A6">
      <w:pPr>
        <w:spacing w:line="480" w:lineRule="auto"/>
      </w:pPr>
      <w:r>
        <w:lastRenderedPageBreak/>
        <w:tab/>
        <w:t xml:space="preserve">“My larger point is this: The Framework Interpretation claims to take the literary structure of Genesis </w:t>
      </w:r>
      <w:r w:rsidR="00513D0F">
        <w:t>1</w:t>
      </w:r>
      <w:r>
        <w:t xml:space="preserve"> with the utmost seriousness and even pits that literary structure against the historical claims of the narra</w:t>
      </w:r>
      <w:r w:rsidR="00A514BF">
        <w:t>tive. In fact, however, the Framework Interpretation has utterly failed to discern the true literary structure of the narrative.”</w:t>
      </w:r>
      <w:r w:rsidR="00A514BF">
        <w:rPr>
          <w:rStyle w:val="FootnoteReference"/>
        </w:rPr>
        <w:footnoteReference w:id="1"/>
      </w:r>
      <w:r w:rsidR="00A514BF">
        <w:t xml:space="preserve"> These remarks, from James B. Jordan’s, </w:t>
      </w:r>
      <w:r w:rsidR="00A514BF">
        <w:rPr>
          <w:i/>
        </w:rPr>
        <w:t xml:space="preserve">Creation </w:t>
      </w:r>
      <w:proofErr w:type="gramStart"/>
      <w:r w:rsidR="00A514BF">
        <w:rPr>
          <w:i/>
        </w:rPr>
        <w:t>In</w:t>
      </w:r>
      <w:proofErr w:type="gramEnd"/>
      <w:r w:rsidR="00A514BF">
        <w:rPr>
          <w:i/>
        </w:rPr>
        <w:t xml:space="preserve"> Six Days: A Defense of the Traditional Reading of Genesis One</w:t>
      </w:r>
      <w:r w:rsidR="00A514BF">
        <w:t xml:space="preserve">, are strikingly direct. Jordan spends ample space </w:t>
      </w:r>
      <w:r w:rsidR="00F800B4">
        <w:t>in</w:t>
      </w:r>
      <w:r w:rsidR="00A514BF">
        <w:t xml:space="preserve"> his book </w:t>
      </w:r>
      <w:r w:rsidR="00E33241">
        <w:t xml:space="preserve">critiquing the Framework hypothesis, while </w:t>
      </w:r>
      <w:r w:rsidR="00F800B4">
        <w:t xml:space="preserve">simultaneously </w:t>
      </w:r>
      <w:r w:rsidR="00E33241">
        <w:t xml:space="preserve">defending a traditional, historical interpretation of Genesis 1. </w:t>
      </w:r>
      <w:r w:rsidR="00F800B4">
        <w:t>As he makes his case, he</w:t>
      </w:r>
      <w:r w:rsidR="00E33241">
        <w:t xml:space="preserve"> is clear to delineate that while he sees Genesis 1 as historical and literal, he still respects the literary devices of the author. Whereas the Framework interpreter emphasizes the parallel structure of days 1-3 with days 4-6, Jordan argues for a primary chiastic structure and </w:t>
      </w:r>
      <w:r w:rsidR="007105EA">
        <w:t xml:space="preserve">a </w:t>
      </w:r>
      <w:r w:rsidR="00E33241">
        <w:t>secondary correlation between the two sets of days.</w:t>
      </w:r>
      <w:r w:rsidR="001C6E74">
        <w:t xml:space="preserve"> </w:t>
      </w:r>
      <w:r w:rsidR="00F800B4">
        <w:t>This</w:t>
      </w:r>
      <w:r w:rsidR="001C6E74">
        <w:t xml:space="preserve"> chiastic understanding of Genesis 1 is worthy of further analysis </w:t>
      </w:r>
      <w:r w:rsidR="006450A2">
        <w:t>in light of the literary form argued by the Framework Interpretation</w:t>
      </w:r>
      <w:r w:rsidR="001C6E74">
        <w:t>.</w:t>
      </w:r>
    </w:p>
    <w:p w14:paraId="392CD968" w14:textId="77777777" w:rsidR="001C6E74" w:rsidRDefault="00513D0F" w:rsidP="003700A6">
      <w:pPr>
        <w:spacing w:line="480" w:lineRule="auto"/>
        <w:rPr>
          <w:b/>
        </w:rPr>
      </w:pPr>
      <w:r>
        <w:rPr>
          <w:b/>
        </w:rPr>
        <w:t>Chiastic Structure of Genesis 1</w:t>
      </w:r>
    </w:p>
    <w:p w14:paraId="089D3A22" w14:textId="5B3A3AA9" w:rsidR="00513D0F" w:rsidRDefault="00513D0F" w:rsidP="003700A6">
      <w:pPr>
        <w:spacing w:line="480" w:lineRule="auto"/>
      </w:pPr>
      <w:r>
        <w:tab/>
      </w:r>
      <w:r w:rsidR="007105EA">
        <w:t>A chiasm</w:t>
      </w:r>
      <w:r w:rsidR="00F800B4">
        <w:t xml:space="preserve"> is a frequent literary technique throughout the Hebrew Bible. Named after the Greek letter, </w:t>
      </w:r>
      <w:r w:rsidR="00F800B4">
        <w:rPr>
          <w:i/>
        </w:rPr>
        <w:t>chi</w:t>
      </w:r>
      <w:r w:rsidR="00F800B4">
        <w:t>, this technique uses a sequence of lines or ideas in a mirrored pattern in order to display emphasis.</w:t>
      </w:r>
      <w:r w:rsidR="00F800B4">
        <w:rPr>
          <w:rStyle w:val="FootnoteReference"/>
        </w:rPr>
        <w:footnoteReference w:id="2"/>
      </w:r>
      <w:r w:rsidR="00396AC1">
        <w:t xml:space="preserve"> A chiasm can be a small selection of lines or it can encompass a large</w:t>
      </w:r>
      <w:r w:rsidR="00B0351D">
        <w:t>r</w:t>
      </w:r>
      <w:r w:rsidR="00396AC1">
        <w:t xml:space="preserve"> portion of text. For instance, while Jordan will suggest a chiastic structure stretching from Genesis 1:1-2:3, Gentry and </w:t>
      </w:r>
      <w:proofErr w:type="spellStart"/>
      <w:r w:rsidR="00396AC1">
        <w:t>Wellum</w:t>
      </w:r>
      <w:proofErr w:type="spellEnd"/>
      <w:r w:rsidR="00396AC1">
        <w:t xml:space="preserve"> identify a chiasm in Genesis 1:26-28.</w:t>
      </w:r>
      <w:r w:rsidR="00396AC1">
        <w:rPr>
          <w:rStyle w:val="FootnoteReference"/>
        </w:rPr>
        <w:footnoteReference w:id="3"/>
      </w:r>
      <w:r w:rsidR="00B0351D">
        <w:t xml:space="preserve"> While </w:t>
      </w:r>
      <w:r w:rsidR="009F26F8">
        <w:t xml:space="preserve">some chiasms </w:t>
      </w:r>
      <w:r w:rsidR="009F26F8">
        <w:lastRenderedPageBreak/>
        <w:t xml:space="preserve">are more easily identified through their parallelism, others can be more ambiguous and not as readily detected. This appears to be the case with Jordan’s chiastic structure of Genesis 1. </w:t>
      </w:r>
    </w:p>
    <w:p w14:paraId="12CBEB8B" w14:textId="77777777" w:rsidR="006C50CC" w:rsidRDefault="009F26F8" w:rsidP="003700A6">
      <w:pPr>
        <w:spacing w:line="480" w:lineRule="auto"/>
      </w:pPr>
      <w:r>
        <w:tab/>
        <w:t xml:space="preserve">To begin with, Jordan identifies an </w:t>
      </w:r>
      <w:proofErr w:type="spellStart"/>
      <w:r>
        <w:rPr>
          <w:i/>
        </w:rPr>
        <w:t>inclusio</w:t>
      </w:r>
      <w:proofErr w:type="spellEnd"/>
      <w:r>
        <w:t xml:space="preserve"> that demarcates the boundaries of the chiasm. The beginning of the </w:t>
      </w:r>
      <w:proofErr w:type="spellStart"/>
      <w:r>
        <w:rPr>
          <w:i/>
        </w:rPr>
        <w:t>inclusio</w:t>
      </w:r>
      <w:proofErr w:type="spellEnd"/>
      <w:r>
        <w:t xml:space="preserve"> can be found in Genesis 1:1</w:t>
      </w:r>
      <w:r w:rsidR="006C50CC">
        <w:t xml:space="preserve"> with the conclusion found in Genesis 2:1-3. Arguing for these “bookends” to the chiasm, Kenneth Matthews states, </w:t>
      </w:r>
    </w:p>
    <w:p w14:paraId="3417E806" w14:textId="77777777" w:rsidR="009F26F8" w:rsidRPr="00B16A3D" w:rsidRDefault="006C50CC" w:rsidP="006C50CC">
      <w:pPr>
        <w:ind w:left="720"/>
      </w:pPr>
      <w:r w:rsidRPr="00B16A3D">
        <w:t>The key terms of 1:1—</w:t>
      </w:r>
      <w:proofErr w:type="spellStart"/>
      <w:r w:rsidRPr="00B16A3D">
        <w:rPr>
          <w:i/>
        </w:rPr>
        <w:t>bārāʾ</w:t>
      </w:r>
      <w:proofErr w:type="spellEnd"/>
      <w:r w:rsidRPr="00B16A3D">
        <w:t xml:space="preserve"> (“created”), </w:t>
      </w:r>
      <w:proofErr w:type="spellStart"/>
      <w:r w:rsidRPr="00B16A3D">
        <w:rPr>
          <w:i/>
        </w:rPr>
        <w:t>ʾĕlōhîm</w:t>
      </w:r>
      <w:proofErr w:type="spellEnd"/>
      <w:r w:rsidRPr="00B16A3D">
        <w:t xml:space="preserve"> (“God”), and </w:t>
      </w:r>
      <w:proofErr w:type="spellStart"/>
      <w:r w:rsidRPr="00B16A3D">
        <w:rPr>
          <w:i/>
        </w:rPr>
        <w:t>haššāmayim</w:t>
      </w:r>
      <w:proofErr w:type="spellEnd"/>
      <w:r w:rsidRPr="00B16A3D">
        <w:rPr>
          <w:i/>
        </w:rPr>
        <w:t xml:space="preserve"> </w:t>
      </w:r>
      <w:proofErr w:type="spellStart"/>
      <w:r w:rsidRPr="00B16A3D">
        <w:rPr>
          <w:i/>
        </w:rPr>
        <w:t>wĕʾēt</w:t>
      </w:r>
      <w:proofErr w:type="spellEnd"/>
      <w:r w:rsidRPr="00B16A3D">
        <w:rPr>
          <w:i/>
        </w:rPr>
        <w:t xml:space="preserve"> </w:t>
      </w:r>
      <w:proofErr w:type="spellStart"/>
      <w:r w:rsidRPr="00B16A3D">
        <w:rPr>
          <w:i/>
        </w:rPr>
        <w:t>hāʾāreṣ</w:t>
      </w:r>
      <w:proofErr w:type="spellEnd"/>
      <w:r w:rsidRPr="00B16A3D">
        <w:t xml:space="preserve"> (“the heavens and the earth”)—are repeated in 2:1–3 but in reverse order, which recommends that 2:1–3 forms the </w:t>
      </w:r>
      <w:proofErr w:type="spellStart"/>
      <w:r w:rsidRPr="00B16A3D">
        <w:t>inclusio</w:t>
      </w:r>
      <w:proofErr w:type="spellEnd"/>
      <w:r w:rsidRPr="00B16A3D">
        <w:t xml:space="preserve"> ending to the first section without the unnecessary 2:4a. The final three words of 2:3 (</w:t>
      </w:r>
      <w:proofErr w:type="spellStart"/>
      <w:r w:rsidRPr="00B16A3D">
        <w:rPr>
          <w:i/>
        </w:rPr>
        <w:t>bārāʾ</w:t>
      </w:r>
      <w:proofErr w:type="spellEnd"/>
      <w:r w:rsidRPr="00B16A3D">
        <w:rPr>
          <w:i/>
        </w:rPr>
        <w:t xml:space="preserve"> </w:t>
      </w:r>
      <w:proofErr w:type="spellStart"/>
      <w:r w:rsidRPr="00B16A3D">
        <w:rPr>
          <w:i/>
        </w:rPr>
        <w:t>ʾĕlōhîm</w:t>
      </w:r>
      <w:proofErr w:type="spellEnd"/>
      <w:r w:rsidRPr="00B16A3D">
        <w:rPr>
          <w:i/>
        </w:rPr>
        <w:t xml:space="preserve"> </w:t>
      </w:r>
      <w:proofErr w:type="spellStart"/>
      <w:r w:rsidRPr="00B16A3D">
        <w:rPr>
          <w:i/>
        </w:rPr>
        <w:t>laʿăśôt</w:t>
      </w:r>
      <w:proofErr w:type="spellEnd"/>
      <w:r w:rsidRPr="00B16A3D">
        <w:t>, lit. “God created to do”) also repeat the primary lexical and theological terms of chap. 1 so as to reflect its content.</w:t>
      </w:r>
      <w:r w:rsidRPr="00B16A3D">
        <w:rPr>
          <w:vertAlign w:val="superscript"/>
        </w:rPr>
        <w:footnoteReference w:id="4"/>
      </w:r>
    </w:p>
    <w:p w14:paraId="142CEE52" w14:textId="77777777" w:rsidR="006450A2" w:rsidRDefault="006450A2" w:rsidP="006C50CC">
      <w:pPr>
        <w:ind w:left="720"/>
      </w:pPr>
    </w:p>
    <w:p w14:paraId="1ABF85DA" w14:textId="77777777" w:rsidR="006450A2" w:rsidRDefault="006450A2" w:rsidP="006450A2">
      <w:pPr>
        <w:spacing w:line="480" w:lineRule="auto"/>
      </w:pPr>
      <w:r>
        <w:t xml:space="preserve">Matthews provides a persuasive argument for concluding the </w:t>
      </w:r>
      <w:proofErr w:type="spellStart"/>
      <w:r>
        <w:rPr>
          <w:i/>
        </w:rPr>
        <w:t>inclusio</w:t>
      </w:r>
      <w:proofErr w:type="spellEnd"/>
      <w:r>
        <w:t xml:space="preserve"> with 2:3 rather than 2:4a, as some scholars prefer. </w:t>
      </w:r>
    </w:p>
    <w:p w14:paraId="407EA94D" w14:textId="19DD580A" w:rsidR="006450A2" w:rsidRDefault="006450A2" w:rsidP="006450A2">
      <w:pPr>
        <w:spacing w:line="480" w:lineRule="auto"/>
      </w:pPr>
      <w:r>
        <w:tab/>
      </w:r>
      <w:r w:rsidR="00A81DC4">
        <w:t xml:space="preserve">Situated within the </w:t>
      </w:r>
      <w:proofErr w:type="spellStart"/>
      <w:r w:rsidR="00A81DC4">
        <w:rPr>
          <w:i/>
        </w:rPr>
        <w:t>inclusio</w:t>
      </w:r>
      <w:proofErr w:type="spellEnd"/>
      <w:r w:rsidR="00A81DC4">
        <w:t>, lies the seven days of creation. Jordan suggests that the parallelism connects days 1 and 7, days 2, 4, 6, and days 3 and 5.</w:t>
      </w:r>
      <w:r w:rsidR="00A81DC4">
        <w:rPr>
          <w:rStyle w:val="FootnoteReference"/>
        </w:rPr>
        <w:footnoteReference w:id="5"/>
      </w:r>
      <w:r w:rsidR="00A81DC4">
        <w:t xml:space="preserve"> The linkage for days 1 and 7 is found in the connection of the “light” which could be understood as the </w:t>
      </w:r>
      <w:r w:rsidR="00A81DC4">
        <w:rPr>
          <w:i/>
        </w:rPr>
        <w:t>Shekinah Glory</w:t>
      </w:r>
      <w:r w:rsidR="00A81DC4">
        <w:t xml:space="preserve"> of God’s presence, since the luminaries have not yet been created, and God’s sabbath rest. Days 3 and 5 </w:t>
      </w:r>
      <w:r w:rsidR="007105EA">
        <w:t>links</w:t>
      </w:r>
      <w:r w:rsidR="00A81DC4">
        <w:t xml:space="preserve"> the sea, land, and trees with </w:t>
      </w:r>
      <w:r w:rsidR="00B16A3D">
        <w:t>the corresponding inhabitants. Interestingly, however, days 2, 4, and 6 connect the firmament, the luminaries, and the creatures of the land. Since day 4 is the epicenter of the chiasm, Jordan argues that this serves as a theological link that connects the heavenly realm with the earthly realm.</w:t>
      </w:r>
      <w:r w:rsidR="00B16A3D">
        <w:rPr>
          <w:rStyle w:val="FootnoteReference"/>
        </w:rPr>
        <w:footnoteReference w:id="6"/>
      </w:r>
      <w:r w:rsidR="00B16A3D">
        <w:t xml:space="preserve"> As this chiastic design is suggested, Jordan continues to assert that this schematic is organized around the themes “darkness,” “formless,” and “emptiness” </w:t>
      </w:r>
      <w:r w:rsidR="007105EA">
        <w:t>outlined in</w:t>
      </w:r>
      <w:bookmarkStart w:id="0" w:name="_GoBack"/>
      <w:bookmarkEnd w:id="0"/>
      <w:r w:rsidR="00CC69C0">
        <w:t xml:space="preserve"> 1:2.</w:t>
      </w:r>
      <w:r w:rsidR="00CC69C0">
        <w:rPr>
          <w:rStyle w:val="FootnoteReference"/>
        </w:rPr>
        <w:footnoteReference w:id="7"/>
      </w:r>
      <w:r w:rsidR="00CC69C0">
        <w:t xml:space="preserve"> </w:t>
      </w:r>
    </w:p>
    <w:p w14:paraId="5631D626" w14:textId="77777777" w:rsidR="00CC69C0" w:rsidRDefault="00814982" w:rsidP="006450A2">
      <w:pPr>
        <w:spacing w:line="480" w:lineRule="auto"/>
        <w:rPr>
          <w:b/>
        </w:rPr>
      </w:pPr>
      <w:r>
        <w:rPr>
          <w:b/>
        </w:rPr>
        <w:lastRenderedPageBreak/>
        <w:t>Chiasm Compared with the Framework Design</w:t>
      </w:r>
    </w:p>
    <w:p w14:paraId="50F14E37" w14:textId="77777777" w:rsidR="00814982" w:rsidRDefault="00814982" w:rsidP="006450A2">
      <w:pPr>
        <w:spacing w:line="480" w:lineRule="auto"/>
      </w:pPr>
      <w:r>
        <w:tab/>
        <w:t>As was already alluded to, the Framework Interpretation of Genesis 1 winsomely suggests literary design in the creation account that does not demand a historic, literal interpretation. In the words of John Collins, Genesis 1:1-2:3 is, “exalted prose narrative… by calling it exalted, we are recognizing that… we must not impose a ‘literalistic’ hermeneutic on the text.”</w:t>
      </w:r>
      <w:r>
        <w:rPr>
          <w:rStyle w:val="FootnoteReference"/>
        </w:rPr>
        <w:footnoteReference w:id="8"/>
      </w:r>
      <w:r w:rsidR="008A4425">
        <w:t xml:space="preserve"> While the Framework approach seems to synthesize the creation days into clearly delineated two sets of days— days 1-3 and days 4-6. Days 1-3 tend to be categorized by phraseology such as, “days of forming” or “days of dominions.” The second set of days, 4-6, are respectively termed, “days of filling” or “days of rulers.” Regardless of the preferred semantics, the concept is straightforward, the first set creates spaces and the second set creates inhabitants. </w:t>
      </w:r>
    </w:p>
    <w:p w14:paraId="545268B9" w14:textId="0872230A" w:rsidR="008A4425" w:rsidRDefault="008A4425" w:rsidP="006450A2">
      <w:pPr>
        <w:spacing w:line="480" w:lineRule="auto"/>
      </w:pPr>
      <w:r>
        <w:tab/>
        <w:t xml:space="preserve">At first glance, this appears to be a helpful and observable approach to the days. However, </w:t>
      </w:r>
      <w:r w:rsidR="00642DB3">
        <w:t xml:space="preserve">as critics of the Framework Interpretation highlight, the emphasis of the literary technique over a literal chronology opens the door for theological liberalism that seeks to assimilate with scientific theories that promote alternative creation accounts. This is theologically risky, but as Jordan suggests, this is not even the best understanding of the literary form of Genesis 1. In </w:t>
      </w:r>
      <w:r w:rsidR="007105EA">
        <w:t xml:space="preserve">a </w:t>
      </w:r>
      <w:r w:rsidR="00642DB3">
        <w:t xml:space="preserve">critique of the two sets of days suggested by Framework interpreters, the light in day 1 is not space to be filled. Furthermore, birds are never called “rulers” over the skies. Finally, though more could be said, the beginning of the “filling” happens in day 3, part of the “forming” set, rather than in the second set of days. Thus, the Framework schematic is leaky and requires significant qualification. </w:t>
      </w:r>
    </w:p>
    <w:p w14:paraId="78886BC0" w14:textId="1DB6DA3A" w:rsidR="00642DB3" w:rsidRDefault="00642DB3" w:rsidP="006450A2">
      <w:pPr>
        <w:spacing w:line="480" w:lineRule="auto"/>
      </w:pPr>
      <w:r>
        <w:lastRenderedPageBreak/>
        <w:tab/>
      </w:r>
      <w:r w:rsidR="00282C1C">
        <w:t xml:space="preserve">The primary focus of this present work has been an analysis of the </w:t>
      </w:r>
      <w:r w:rsidR="008F2A32">
        <w:t>literary structure, but it is worth a final note to highlight that the chiastic form propagated by Jordan has significant theological value in understanding later passages such as the elements of the tabernacle/temple and the Night Visions of Zechariah 1-6.</w:t>
      </w:r>
      <w:r w:rsidR="008F2A32">
        <w:rPr>
          <w:rStyle w:val="FootnoteReference"/>
        </w:rPr>
        <w:footnoteReference w:id="9"/>
      </w:r>
      <w:r w:rsidR="008F2A32">
        <w:t xml:space="preserve"> Though many find the Framework Interpretation compelling as a literary design for the creation account of Genesis 1, this brief assessment has suggested that a chiastic structure is more literarily consistent, more faithful to the primary motifs of Genesis 1, and does not compromise on the historic and literal interpretation.</w:t>
      </w:r>
      <w:r w:rsidR="009744DD">
        <w:t xml:space="preserve"> This approach fosters harmony between the chronological history of creation and the literary mastery of the text.</w:t>
      </w:r>
    </w:p>
    <w:p w14:paraId="249AB032" w14:textId="77777777" w:rsidR="00381A3E" w:rsidRDefault="00381A3E" w:rsidP="006450A2">
      <w:pPr>
        <w:spacing w:line="480" w:lineRule="auto"/>
      </w:pPr>
    </w:p>
    <w:p w14:paraId="5D6622FD" w14:textId="77777777" w:rsidR="00381A3E" w:rsidRDefault="00381A3E" w:rsidP="006450A2">
      <w:pPr>
        <w:spacing w:line="480" w:lineRule="auto"/>
      </w:pPr>
    </w:p>
    <w:p w14:paraId="32591FEC" w14:textId="77777777" w:rsidR="00381A3E" w:rsidRDefault="00381A3E" w:rsidP="006450A2">
      <w:pPr>
        <w:spacing w:line="480" w:lineRule="auto"/>
      </w:pPr>
    </w:p>
    <w:p w14:paraId="202A7CAC" w14:textId="77777777" w:rsidR="00381A3E" w:rsidRDefault="00381A3E" w:rsidP="006450A2">
      <w:pPr>
        <w:spacing w:line="480" w:lineRule="auto"/>
      </w:pPr>
    </w:p>
    <w:p w14:paraId="18FDA775" w14:textId="77777777" w:rsidR="00381A3E" w:rsidRDefault="00381A3E" w:rsidP="006450A2">
      <w:pPr>
        <w:spacing w:line="480" w:lineRule="auto"/>
      </w:pPr>
    </w:p>
    <w:p w14:paraId="560DE63B" w14:textId="77777777" w:rsidR="00381A3E" w:rsidRDefault="00381A3E" w:rsidP="006450A2">
      <w:pPr>
        <w:spacing w:line="480" w:lineRule="auto"/>
      </w:pPr>
    </w:p>
    <w:p w14:paraId="6E463E25" w14:textId="77777777" w:rsidR="00381A3E" w:rsidRDefault="00381A3E" w:rsidP="006450A2">
      <w:pPr>
        <w:spacing w:line="480" w:lineRule="auto"/>
      </w:pPr>
    </w:p>
    <w:p w14:paraId="17CB140B" w14:textId="77777777" w:rsidR="00381A3E" w:rsidRDefault="00381A3E" w:rsidP="006450A2">
      <w:pPr>
        <w:spacing w:line="480" w:lineRule="auto"/>
      </w:pPr>
    </w:p>
    <w:p w14:paraId="64CCB48C" w14:textId="77777777" w:rsidR="00381A3E" w:rsidRDefault="00381A3E" w:rsidP="006450A2">
      <w:pPr>
        <w:spacing w:line="480" w:lineRule="auto"/>
      </w:pPr>
    </w:p>
    <w:p w14:paraId="1C3754CD" w14:textId="77777777" w:rsidR="00381A3E" w:rsidRDefault="00381A3E" w:rsidP="006450A2">
      <w:pPr>
        <w:spacing w:line="480" w:lineRule="auto"/>
      </w:pPr>
    </w:p>
    <w:p w14:paraId="11BCEC35" w14:textId="77777777" w:rsidR="00381A3E" w:rsidRDefault="00381A3E" w:rsidP="006450A2">
      <w:pPr>
        <w:spacing w:line="480" w:lineRule="auto"/>
      </w:pPr>
    </w:p>
    <w:p w14:paraId="17BE556B" w14:textId="77777777" w:rsidR="00381A3E" w:rsidRDefault="00381A3E" w:rsidP="006450A2">
      <w:pPr>
        <w:spacing w:line="480" w:lineRule="auto"/>
      </w:pPr>
    </w:p>
    <w:p w14:paraId="7BDFAB21" w14:textId="77777777" w:rsidR="00381A3E" w:rsidRDefault="00381A3E" w:rsidP="006450A2">
      <w:pPr>
        <w:spacing w:line="480" w:lineRule="auto"/>
      </w:pPr>
    </w:p>
    <w:p w14:paraId="4EB51935" w14:textId="77777777" w:rsidR="00381A3E" w:rsidRDefault="00381A3E" w:rsidP="00381A3E">
      <w:pPr>
        <w:spacing w:line="480" w:lineRule="auto"/>
        <w:jc w:val="center"/>
        <w:rPr>
          <w:b/>
        </w:rPr>
      </w:pPr>
      <w:r>
        <w:rPr>
          <w:b/>
        </w:rPr>
        <w:lastRenderedPageBreak/>
        <w:t>Bibliography</w:t>
      </w:r>
    </w:p>
    <w:p w14:paraId="1494E8CA" w14:textId="77777777" w:rsidR="00381A3E" w:rsidRDefault="00213D87" w:rsidP="00381A3E">
      <w:pPr>
        <w:ind w:left="720" w:hanging="720"/>
      </w:pPr>
      <w:r>
        <w:t xml:space="preserve">Gentry, Peter J., and Stephen J. </w:t>
      </w:r>
      <w:proofErr w:type="spellStart"/>
      <w:r>
        <w:t>Wellum</w:t>
      </w:r>
      <w:proofErr w:type="spellEnd"/>
      <w:r>
        <w:t xml:space="preserve">. </w:t>
      </w:r>
      <w:r>
        <w:rPr>
          <w:i/>
          <w:iCs/>
        </w:rPr>
        <w:t>God’s Kingdom through God’s Covenants: A Concise Biblical Theology</w:t>
      </w:r>
      <w:r>
        <w:t>. Wheaton, IL: Crossway, 2015.</w:t>
      </w:r>
    </w:p>
    <w:p w14:paraId="2FB33B64" w14:textId="77777777" w:rsidR="00213D87" w:rsidRDefault="00213D87" w:rsidP="00381A3E">
      <w:pPr>
        <w:ind w:left="720" w:hanging="720"/>
      </w:pPr>
    </w:p>
    <w:p w14:paraId="09FA330A" w14:textId="77777777" w:rsidR="00213D87" w:rsidRDefault="00213D87" w:rsidP="00381A3E">
      <w:pPr>
        <w:ind w:left="720" w:hanging="720"/>
      </w:pPr>
      <w:r>
        <w:t xml:space="preserve">Jordan, James B. </w:t>
      </w:r>
      <w:r>
        <w:rPr>
          <w:i/>
        </w:rPr>
        <w:t xml:space="preserve">Creation </w:t>
      </w:r>
      <w:proofErr w:type="gramStart"/>
      <w:r>
        <w:rPr>
          <w:i/>
        </w:rPr>
        <w:t>In</w:t>
      </w:r>
      <w:proofErr w:type="gramEnd"/>
      <w:r>
        <w:rPr>
          <w:i/>
        </w:rPr>
        <w:t xml:space="preserve"> Six Days: A Defense of the Traditional Reading of Genesis One</w:t>
      </w:r>
      <w:r>
        <w:t>.</w:t>
      </w:r>
      <w:r>
        <w:rPr>
          <w:i/>
        </w:rPr>
        <w:t xml:space="preserve"> </w:t>
      </w:r>
      <w:proofErr w:type="gramStart"/>
      <w:r>
        <w:t>.Moscow</w:t>
      </w:r>
      <w:proofErr w:type="gramEnd"/>
      <w:r>
        <w:t>, ID: Canon Press, 1999.</w:t>
      </w:r>
    </w:p>
    <w:p w14:paraId="5E84B397" w14:textId="77777777" w:rsidR="00213D87" w:rsidRDefault="00213D87" w:rsidP="00381A3E">
      <w:pPr>
        <w:ind w:left="720" w:hanging="720"/>
      </w:pPr>
    </w:p>
    <w:p w14:paraId="23EA8119" w14:textId="77777777" w:rsidR="00213D87" w:rsidRDefault="00213D87" w:rsidP="00381A3E">
      <w:pPr>
        <w:ind w:left="720" w:hanging="720"/>
      </w:pPr>
      <w:r>
        <w:t xml:space="preserve">Mathews, K. A. </w:t>
      </w:r>
      <w:r>
        <w:rPr>
          <w:i/>
          <w:iCs/>
        </w:rPr>
        <w:t>Genesis 1-11:26</w:t>
      </w:r>
      <w:r>
        <w:t>. Vol. 1A. The New American Commentary. Nashville: Broadman &amp; Holman Publishers, 1996.</w:t>
      </w:r>
    </w:p>
    <w:p w14:paraId="76675C5E" w14:textId="77777777" w:rsidR="00213D87" w:rsidRDefault="00213D87" w:rsidP="00381A3E">
      <w:pPr>
        <w:ind w:left="720" w:hanging="720"/>
      </w:pPr>
    </w:p>
    <w:p w14:paraId="764F7C81" w14:textId="77777777" w:rsidR="00213D87" w:rsidRDefault="00213D87" w:rsidP="00213D87">
      <w:pPr>
        <w:ind w:left="720" w:hanging="720"/>
      </w:pPr>
      <w:r>
        <w:t xml:space="preserve">Mortenson, Terry, and Thane H. </w:t>
      </w:r>
      <w:proofErr w:type="spellStart"/>
      <w:r>
        <w:t>Ury</w:t>
      </w:r>
      <w:proofErr w:type="spellEnd"/>
      <w:r>
        <w:t xml:space="preserve">, eds. </w:t>
      </w:r>
      <w:r>
        <w:rPr>
          <w:i/>
        </w:rPr>
        <w:t>Coming to Grips with Genesis: Biblical Authority and the Age of the Earth</w:t>
      </w:r>
      <w:r>
        <w:t>. Green Forest, AR: Master Books, 2018.</w:t>
      </w:r>
    </w:p>
    <w:p w14:paraId="62685287" w14:textId="77777777" w:rsidR="00213D87" w:rsidRPr="00381A3E" w:rsidRDefault="00213D87" w:rsidP="00381A3E">
      <w:pPr>
        <w:ind w:left="720" w:hanging="720"/>
      </w:pPr>
    </w:p>
    <w:sectPr w:rsidR="00213D87" w:rsidRPr="00381A3E" w:rsidSect="00E823D6">
      <w:footerReference w:type="even" r:id="rId7"/>
      <w:foot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C8FC62" w14:textId="77777777" w:rsidR="003A6AF8" w:rsidRDefault="003A6AF8" w:rsidP="00BB3D53">
      <w:r>
        <w:separator/>
      </w:r>
    </w:p>
  </w:endnote>
  <w:endnote w:type="continuationSeparator" w:id="0">
    <w:p w14:paraId="26AF43ED" w14:textId="77777777" w:rsidR="003A6AF8" w:rsidRDefault="003A6AF8" w:rsidP="00BB3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03802324"/>
      <w:docPartObj>
        <w:docPartGallery w:val="Page Numbers (Bottom of Page)"/>
        <w:docPartUnique/>
      </w:docPartObj>
    </w:sdtPr>
    <w:sdtEndPr>
      <w:rPr>
        <w:rStyle w:val="PageNumber"/>
      </w:rPr>
    </w:sdtEndPr>
    <w:sdtContent>
      <w:p w14:paraId="61FEC3B1" w14:textId="77777777" w:rsidR="00E823D6" w:rsidRDefault="00E823D6" w:rsidP="006B75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A656D7" w14:textId="77777777" w:rsidR="00E823D6" w:rsidRDefault="00E823D6" w:rsidP="00E823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1694431"/>
      <w:docPartObj>
        <w:docPartGallery w:val="Page Numbers (Bottom of Page)"/>
        <w:docPartUnique/>
      </w:docPartObj>
    </w:sdtPr>
    <w:sdtEndPr>
      <w:rPr>
        <w:rStyle w:val="PageNumber"/>
      </w:rPr>
    </w:sdtEndPr>
    <w:sdtContent>
      <w:p w14:paraId="0A4063E5" w14:textId="77777777" w:rsidR="00E823D6" w:rsidRDefault="00E823D6" w:rsidP="006B755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344F512" w14:textId="77777777" w:rsidR="00E823D6" w:rsidRDefault="00E823D6" w:rsidP="00E823D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7CF9DB" w14:textId="77777777" w:rsidR="003A6AF8" w:rsidRDefault="003A6AF8" w:rsidP="00BB3D53">
      <w:r>
        <w:separator/>
      </w:r>
    </w:p>
  </w:footnote>
  <w:footnote w:type="continuationSeparator" w:id="0">
    <w:p w14:paraId="0F14E344" w14:textId="77777777" w:rsidR="003A6AF8" w:rsidRDefault="003A6AF8" w:rsidP="00BB3D53">
      <w:r>
        <w:continuationSeparator/>
      </w:r>
    </w:p>
  </w:footnote>
  <w:footnote w:id="1">
    <w:p w14:paraId="7AD92C18" w14:textId="77777777" w:rsidR="00A514BF" w:rsidRPr="00A514BF" w:rsidRDefault="00A514BF">
      <w:pPr>
        <w:pStyle w:val="FootnoteText"/>
      </w:pPr>
      <w:r>
        <w:rPr>
          <w:rStyle w:val="FootnoteReference"/>
        </w:rPr>
        <w:footnoteRef/>
      </w:r>
      <w:r>
        <w:t xml:space="preserve"> James B. Jordan, </w:t>
      </w:r>
      <w:r>
        <w:rPr>
          <w:i/>
        </w:rPr>
        <w:t xml:space="preserve">Creation </w:t>
      </w:r>
      <w:proofErr w:type="gramStart"/>
      <w:r>
        <w:rPr>
          <w:i/>
        </w:rPr>
        <w:t>In</w:t>
      </w:r>
      <w:proofErr w:type="gramEnd"/>
      <w:r>
        <w:rPr>
          <w:i/>
        </w:rPr>
        <w:t xml:space="preserve"> Six Days: A Defense of the Traditional Reading of Genesis One </w:t>
      </w:r>
      <w:r>
        <w:t>(Moscow, ID: Canon Press, 1999), 219.</w:t>
      </w:r>
    </w:p>
  </w:footnote>
  <w:footnote w:id="2">
    <w:p w14:paraId="787D89D4" w14:textId="77777777" w:rsidR="00F800B4" w:rsidRDefault="00F800B4">
      <w:pPr>
        <w:pStyle w:val="FootnoteText"/>
      </w:pPr>
      <w:r>
        <w:rPr>
          <w:rStyle w:val="FootnoteReference"/>
        </w:rPr>
        <w:footnoteRef/>
      </w:r>
      <w:r>
        <w:t xml:space="preserve"> </w:t>
      </w:r>
      <w:r w:rsidR="00396AC1">
        <w:t>For further explanation of chiasm, see</w:t>
      </w:r>
      <w:r>
        <w:t xml:space="preserve"> Jordan, 211</w:t>
      </w:r>
      <w:r w:rsidR="00396AC1">
        <w:t>.</w:t>
      </w:r>
    </w:p>
  </w:footnote>
  <w:footnote w:id="3">
    <w:p w14:paraId="031D86A0" w14:textId="77777777" w:rsidR="00396AC1" w:rsidRDefault="00396AC1">
      <w:pPr>
        <w:pStyle w:val="FootnoteText"/>
      </w:pPr>
      <w:r>
        <w:rPr>
          <w:rStyle w:val="FootnoteReference"/>
        </w:rPr>
        <w:footnoteRef/>
      </w:r>
      <w:r>
        <w:t xml:space="preserve"> </w:t>
      </w:r>
      <w:r w:rsidR="00D96C17">
        <w:t xml:space="preserve">Gentry and </w:t>
      </w:r>
      <w:proofErr w:type="spellStart"/>
      <w:r w:rsidR="00D96C17">
        <w:t>Wellum</w:t>
      </w:r>
      <w:proofErr w:type="spellEnd"/>
      <w:r w:rsidR="00D96C17">
        <w:t xml:space="preserve"> </w:t>
      </w:r>
      <w:r w:rsidR="00C10825">
        <w:t>identify this chiasm as an ABBA structure. The corresponding “B” lines link the phrase “male and female he created them.” However, the “A” lines link the phrases “in the image of God he made them” and “and fill the earth and subdue it and rule over…” Thus, the theological implication of this chiasm is found in the image bearing nature of humanity being liked with their rule and dominion over creation.</w:t>
      </w:r>
      <w:r w:rsidR="00D96C17">
        <w:t xml:space="preserve"> </w:t>
      </w:r>
      <w:r>
        <w:t xml:space="preserve">Peter J. Gentry, and Stephen J. </w:t>
      </w:r>
      <w:proofErr w:type="spellStart"/>
      <w:r>
        <w:t>Wellum</w:t>
      </w:r>
      <w:proofErr w:type="spellEnd"/>
      <w:r>
        <w:t xml:space="preserve">, </w:t>
      </w:r>
      <w:r>
        <w:rPr>
          <w:i/>
          <w:iCs/>
        </w:rPr>
        <w:t>God’s Kingdom through God’s Covenants: A Concise Biblical Theology</w:t>
      </w:r>
      <w:r>
        <w:t>. (Wheaton, IL: Crossway, 2015), 74.</w:t>
      </w:r>
    </w:p>
  </w:footnote>
  <w:footnote w:id="4">
    <w:p w14:paraId="1EC25E4D" w14:textId="77777777" w:rsidR="006C50CC" w:rsidRDefault="006C50CC" w:rsidP="006C50CC">
      <w:r>
        <w:rPr>
          <w:vertAlign w:val="superscript"/>
        </w:rPr>
        <w:footnoteRef/>
      </w:r>
      <w:r>
        <w:t xml:space="preserve"> </w:t>
      </w:r>
      <w:r w:rsidRPr="006450A2">
        <w:rPr>
          <w:color w:val="000000" w:themeColor="text1"/>
          <w:sz w:val="20"/>
          <w:szCs w:val="20"/>
        </w:rPr>
        <w:t xml:space="preserve">K. A. Mathews, </w:t>
      </w:r>
      <w:hyperlink r:id="rId1" w:history="1">
        <w:r w:rsidRPr="006450A2">
          <w:rPr>
            <w:i/>
            <w:color w:val="000000" w:themeColor="text1"/>
            <w:sz w:val="20"/>
            <w:szCs w:val="20"/>
          </w:rPr>
          <w:t>Genesis 1-11:26</w:t>
        </w:r>
      </w:hyperlink>
      <w:r w:rsidRPr="006450A2">
        <w:rPr>
          <w:color w:val="000000" w:themeColor="text1"/>
          <w:sz w:val="20"/>
          <w:szCs w:val="20"/>
        </w:rPr>
        <w:t>, vol. 1A, The New American Commentary (Nashville: Broadman &amp; Holman Publishers, 1996), 114.</w:t>
      </w:r>
    </w:p>
  </w:footnote>
  <w:footnote w:id="5">
    <w:p w14:paraId="21A86FF7" w14:textId="77777777" w:rsidR="00A81DC4" w:rsidRDefault="00A81DC4">
      <w:pPr>
        <w:pStyle w:val="FootnoteText"/>
      </w:pPr>
      <w:r>
        <w:rPr>
          <w:rStyle w:val="FootnoteReference"/>
        </w:rPr>
        <w:footnoteRef/>
      </w:r>
      <w:r>
        <w:t xml:space="preserve"> Jordan, 60.</w:t>
      </w:r>
    </w:p>
  </w:footnote>
  <w:footnote w:id="6">
    <w:p w14:paraId="55DC25DB" w14:textId="77777777" w:rsidR="00B16A3D" w:rsidRDefault="00B16A3D">
      <w:pPr>
        <w:pStyle w:val="FootnoteText"/>
      </w:pPr>
      <w:r>
        <w:rPr>
          <w:rStyle w:val="FootnoteReference"/>
        </w:rPr>
        <w:footnoteRef/>
      </w:r>
      <w:r>
        <w:t xml:space="preserve"> Ibid.</w:t>
      </w:r>
    </w:p>
  </w:footnote>
  <w:footnote w:id="7">
    <w:p w14:paraId="79A51534" w14:textId="77777777" w:rsidR="00CC69C0" w:rsidRDefault="00CC69C0">
      <w:pPr>
        <w:pStyle w:val="FootnoteText"/>
      </w:pPr>
      <w:r>
        <w:rPr>
          <w:rStyle w:val="FootnoteReference"/>
        </w:rPr>
        <w:footnoteRef/>
      </w:r>
      <w:r>
        <w:t xml:space="preserve"> Ibid, 61.</w:t>
      </w:r>
    </w:p>
  </w:footnote>
  <w:footnote w:id="8">
    <w:p w14:paraId="4D2B5324" w14:textId="77777777" w:rsidR="008A4425" w:rsidRDefault="00814982" w:rsidP="008A4425">
      <w:pPr>
        <w:rPr>
          <w:sz w:val="20"/>
          <w:szCs w:val="20"/>
        </w:rPr>
      </w:pPr>
      <w:r>
        <w:rPr>
          <w:rStyle w:val="FootnoteReference"/>
        </w:rPr>
        <w:footnoteRef/>
      </w:r>
      <w:r>
        <w:t xml:space="preserve"> </w:t>
      </w:r>
      <w:r w:rsidRPr="008A4425">
        <w:rPr>
          <w:sz w:val="20"/>
          <w:szCs w:val="20"/>
        </w:rPr>
        <w:t>Todd S. Beall, “Contemporary Hermeneutical Approaches to Genesis 1-11,”</w:t>
      </w:r>
      <w:r w:rsidR="008A4425" w:rsidRPr="008A4425">
        <w:rPr>
          <w:sz w:val="20"/>
          <w:szCs w:val="20"/>
        </w:rPr>
        <w:t xml:space="preserve"> in </w:t>
      </w:r>
      <w:r w:rsidR="008A4425" w:rsidRPr="008A4425">
        <w:rPr>
          <w:i/>
          <w:sz w:val="20"/>
          <w:szCs w:val="20"/>
        </w:rPr>
        <w:t>Coming to Grips with Genesis: Biblical Authority and the Age of the Earth</w:t>
      </w:r>
      <w:r w:rsidR="008A4425" w:rsidRPr="008A4425">
        <w:rPr>
          <w:sz w:val="20"/>
          <w:szCs w:val="20"/>
        </w:rPr>
        <w:t xml:space="preserve">, eds. Terry Mortenson and Thane H. </w:t>
      </w:r>
      <w:proofErr w:type="spellStart"/>
      <w:r w:rsidR="008A4425" w:rsidRPr="008A4425">
        <w:rPr>
          <w:sz w:val="20"/>
          <w:szCs w:val="20"/>
        </w:rPr>
        <w:t>Ury</w:t>
      </w:r>
      <w:proofErr w:type="spellEnd"/>
      <w:r w:rsidR="008A4425" w:rsidRPr="008A4425">
        <w:rPr>
          <w:sz w:val="20"/>
          <w:szCs w:val="20"/>
        </w:rPr>
        <w:t xml:space="preserve"> (Green Forest, AZ: Master Books, 2018), 1</w:t>
      </w:r>
      <w:r w:rsidR="008A4425">
        <w:rPr>
          <w:sz w:val="20"/>
          <w:szCs w:val="20"/>
        </w:rPr>
        <w:t>50.</w:t>
      </w:r>
    </w:p>
    <w:p w14:paraId="1221719C" w14:textId="77777777" w:rsidR="00814982" w:rsidRDefault="00814982">
      <w:pPr>
        <w:pStyle w:val="FootnoteText"/>
      </w:pPr>
    </w:p>
  </w:footnote>
  <w:footnote w:id="9">
    <w:p w14:paraId="281025DF" w14:textId="77777777" w:rsidR="008F2A32" w:rsidRDefault="008F2A32">
      <w:pPr>
        <w:pStyle w:val="FootnoteText"/>
      </w:pPr>
      <w:r>
        <w:rPr>
          <w:rStyle w:val="FootnoteReference"/>
        </w:rPr>
        <w:footnoteRef/>
      </w:r>
      <w:r>
        <w:t xml:space="preserve"> Jordan, 216-226.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BD7"/>
    <w:rsid w:val="00137EFC"/>
    <w:rsid w:val="001C6E74"/>
    <w:rsid w:val="00213D87"/>
    <w:rsid w:val="00282C1C"/>
    <w:rsid w:val="002C270F"/>
    <w:rsid w:val="003647E2"/>
    <w:rsid w:val="003700A6"/>
    <w:rsid w:val="00381A3E"/>
    <w:rsid w:val="00396AC1"/>
    <w:rsid w:val="003A6AF8"/>
    <w:rsid w:val="003D3F94"/>
    <w:rsid w:val="004130DA"/>
    <w:rsid w:val="004B49FB"/>
    <w:rsid w:val="00513D0F"/>
    <w:rsid w:val="00642DB3"/>
    <w:rsid w:val="006450A2"/>
    <w:rsid w:val="006C50CC"/>
    <w:rsid w:val="006F4D5E"/>
    <w:rsid w:val="007105EA"/>
    <w:rsid w:val="007633E9"/>
    <w:rsid w:val="00814982"/>
    <w:rsid w:val="00815472"/>
    <w:rsid w:val="008A0FF8"/>
    <w:rsid w:val="008A4425"/>
    <w:rsid w:val="008F2A32"/>
    <w:rsid w:val="008F6785"/>
    <w:rsid w:val="009744DD"/>
    <w:rsid w:val="009C3121"/>
    <w:rsid w:val="009D491A"/>
    <w:rsid w:val="009F26F8"/>
    <w:rsid w:val="00A514BF"/>
    <w:rsid w:val="00A81DC4"/>
    <w:rsid w:val="00B0351D"/>
    <w:rsid w:val="00B16A3D"/>
    <w:rsid w:val="00BB3D53"/>
    <w:rsid w:val="00C10825"/>
    <w:rsid w:val="00C57C74"/>
    <w:rsid w:val="00CC69C0"/>
    <w:rsid w:val="00D82BD7"/>
    <w:rsid w:val="00D96C17"/>
    <w:rsid w:val="00E33241"/>
    <w:rsid w:val="00E668CB"/>
    <w:rsid w:val="00E823D6"/>
    <w:rsid w:val="00F800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7D4E1E"/>
  <w15:chartTrackingRefBased/>
  <w15:docId w15:val="{AF7A64C4-0EF1-7745-B688-CA0B53B47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B3D53"/>
    <w:rPr>
      <w:sz w:val="20"/>
      <w:szCs w:val="20"/>
    </w:rPr>
  </w:style>
  <w:style w:type="character" w:customStyle="1" w:styleId="FootnoteTextChar">
    <w:name w:val="Footnote Text Char"/>
    <w:basedOn w:val="DefaultParagraphFont"/>
    <w:link w:val="FootnoteText"/>
    <w:uiPriority w:val="99"/>
    <w:semiHidden/>
    <w:rsid w:val="00BB3D53"/>
    <w:rPr>
      <w:sz w:val="20"/>
      <w:szCs w:val="20"/>
    </w:rPr>
  </w:style>
  <w:style w:type="character" w:styleId="FootnoteReference">
    <w:name w:val="footnote reference"/>
    <w:basedOn w:val="DefaultParagraphFont"/>
    <w:uiPriority w:val="99"/>
    <w:semiHidden/>
    <w:unhideWhenUsed/>
    <w:rsid w:val="00BB3D53"/>
    <w:rPr>
      <w:vertAlign w:val="superscript"/>
    </w:rPr>
  </w:style>
  <w:style w:type="paragraph" w:styleId="Footer">
    <w:name w:val="footer"/>
    <w:basedOn w:val="Normal"/>
    <w:link w:val="FooterChar"/>
    <w:uiPriority w:val="99"/>
    <w:unhideWhenUsed/>
    <w:rsid w:val="00E823D6"/>
    <w:pPr>
      <w:tabs>
        <w:tab w:val="center" w:pos="4680"/>
        <w:tab w:val="right" w:pos="9360"/>
      </w:tabs>
    </w:pPr>
  </w:style>
  <w:style w:type="character" w:customStyle="1" w:styleId="FooterChar">
    <w:name w:val="Footer Char"/>
    <w:basedOn w:val="DefaultParagraphFont"/>
    <w:link w:val="Footer"/>
    <w:uiPriority w:val="99"/>
    <w:rsid w:val="00E823D6"/>
  </w:style>
  <w:style w:type="character" w:styleId="PageNumber">
    <w:name w:val="page number"/>
    <w:basedOn w:val="DefaultParagraphFont"/>
    <w:uiPriority w:val="99"/>
    <w:semiHidden/>
    <w:unhideWhenUsed/>
    <w:rsid w:val="00E823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ref.ly/logosres/nac01a?ref=Bible.Ge1.1-2.3&amp;off=3326&amp;ctx=rative+progression.+~The+key+terms+of+1:1"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ukejohnson/Library/Group%20Containers/UBF8T346G9.Office/User%20Content.localized/Templates.localized/Doctoral%20Pap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15C8AA5-873A-9546-A4CE-49DB7512BB76}">
  <we:reference id="wa200001011" version="1.1.0.0" store="en-US" storeType="OMEX"/>
  <we:alternateReferences>
    <we:reference id="wa200001011" version="1.1.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CBCA7D79-50A0-5D4F-BF96-BD9E61808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Doctoral Paper.dotx</Template>
  <TotalTime>213</TotalTime>
  <Pages>6</Pages>
  <Words>1017</Words>
  <Characters>5799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Luke Johnson</cp:lastModifiedBy>
  <cp:revision>8</cp:revision>
  <dcterms:created xsi:type="dcterms:W3CDTF">2020-10-03T17:41:00Z</dcterms:created>
  <dcterms:modified xsi:type="dcterms:W3CDTF">2020-11-03T22:01:00Z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documentId_4260</vt:lpwstr>
  </property>
  <property fmtid="{D5CDD505-2E9C-101B-9397-08002B2CF9AE}" pid="3" name="grammarly_documentContext">
    <vt:lpwstr>{"goals":[],"domain":"general","emotions":[],"dialect":"american"}</vt:lpwstr>
  </property>
</Properties>
</file>